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微软雅黑" w:hAnsi="微软雅黑" w:eastAsia="微软雅黑" w:cs="微软雅黑"/>
          <w:color w:val="013298"/>
          <w:kern w:val="0"/>
          <w:szCs w:val="21"/>
        </w:rPr>
      </w:pPr>
      <w:bookmarkStart w:id="0" w:name="_GoBack"/>
      <w:bookmarkEnd w:id="0"/>
      <w:r>
        <w:rPr>
          <w:rFonts w:hint="eastAsia" w:ascii="微软雅黑" w:hAnsi="微软雅黑" w:eastAsia="微软雅黑" w:cs="微软雅黑"/>
          <w:color w:val="013298"/>
          <w:kern w:val="0"/>
          <w:szCs w:val="21"/>
        </w:rPr>
        <w:t>硕士研究生指导教师简介</w:t>
      </w:r>
    </w:p>
    <w:tbl>
      <w:tblPr>
        <w:tblStyle w:val="6"/>
        <w:tblW w:w="8825" w:type="dxa"/>
        <w:jc w:val="center"/>
        <w:tblCellSpacing w:w="0" w:type="dxa"/>
        <w:shd w:val="clear" w:color="auto" w:fill="FFFFFF"/>
        <w:tblLayout w:type="fixed"/>
        <w:tblCellMar>
          <w:top w:w="45" w:type="dxa"/>
          <w:left w:w="45" w:type="dxa"/>
          <w:bottom w:w="45" w:type="dxa"/>
          <w:right w:w="45" w:type="dxa"/>
        </w:tblCellMar>
      </w:tblPr>
      <w:tblGrid>
        <w:gridCol w:w="1897"/>
        <w:gridCol w:w="4983"/>
        <w:gridCol w:w="1945"/>
      </w:tblGrid>
      <w:tr>
        <w:tblPrEx>
          <w:shd w:val="clear" w:color="auto" w:fill="FFFFFF"/>
          <w:tblCellMar>
            <w:top w:w="45" w:type="dxa"/>
            <w:left w:w="45" w:type="dxa"/>
            <w:bottom w:w="45" w:type="dxa"/>
            <w:right w:w="45" w:type="dxa"/>
          </w:tblCellMar>
        </w:tblPrEx>
        <w:trPr>
          <w:tblCellSpacing w:w="0" w:type="dxa"/>
          <w:jc w:val="center"/>
        </w:trPr>
        <w:tc>
          <w:tcPr>
            <w:tcW w:w="1897" w:type="dxa"/>
            <w:tcBorders>
              <w:top w:val="single" w:color="0033CC" w:sz="12" w:space="0"/>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4983" w:type="dxa"/>
            <w:tcBorders>
              <w:top w:val="single" w:color="0033CC" w:sz="12" w:space="0"/>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 xml:space="preserve">田健 </w:t>
            </w:r>
            <w:r>
              <w:rPr>
                <w:rFonts w:hint="eastAsia" w:ascii="微软雅黑" w:hAnsi="微软雅黑" w:eastAsia="微软雅黑" w:cs="微软雅黑"/>
                <w:b/>
                <w:color w:val="013298"/>
                <w:sz w:val="15"/>
                <w:szCs w:val="15"/>
              </w:rPr>
              <w:t>/</w:t>
            </w:r>
            <w:r>
              <w:rPr>
                <w:rFonts w:hint="eastAsia" w:ascii="微软雅黑" w:hAnsi="微软雅黑" w:eastAsia="微软雅黑" w:cs="微软雅黑"/>
                <w:b/>
                <w:color w:val="013298"/>
                <w:sz w:val="15"/>
                <w:szCs w:val="15"/>
                <w:lang w:val="en-US" w:eastAsia="zh-CN"/>
              </w:rPr>
              <w:t xml:space="preserve"> Tian Jian</w:t>
            </w:r>
          </w:p>
        </w:tc>
        <w:tc>
          <w:tcPr>
            <w:tcW w:w="1945" w:type="dxa"/>
            <w:vMerge w:val="restart"/>
            <w:tcBorders>
              <w:top w:val="single" w:color="0033CC" w:sz="12" w:space="0"/>
              <w:tl2br w:val="nil"/>
              <w:tr2bl w:val="nil"/>
            </w:tcBorders>
            <w:shd w:val="clear" w:color="auto" w:fill="FFFFFF"/>
            <w:vAlign w:val="center"/>
          </w:tcPr>
          <w:p>
            <w:pPr>
              <w:jc w:val="center"/>
              <w:rPr>
                <w:rFonts w:hint="eastAsia" w:ascii="微软雅黑" w:hAnsi="微软雅黑" w:eastAsia="微软雅黑" w:cs="微软雅黑"/>
                <w:color w:val="013298"/>
                <w:sz w:val="15"/>
                <w:szCs w:val="15"/>
                <w:lang w:eastAsia="zh-CN"/>
              </w:rPr>
            </w:pPr>
            <w:r>
              <w:rPr>
                <w:rFonts w:hint="eastAsia" w:ascii="微软雅黑" w:hAnsi="微软雅黑" w:eastAsia="微软雅黑" w:cs="微软雅黑"/>
                <w:color w:val="013298"/>
                <w:sz w:val="15"/>
                <w:szCs w:val="15"/>
                <w:lang w:eastAsia="zh-CN"/>
              </w:rPr>
              <w:drawing>
                <wp:inline distT="0" distB="0" distL="114300" distR="114300">
                  <wp:extent cx="1125855" cy="1474470"/>
                  <wp:effectExtent l="0" t="0" r="1905" b="3810"/>
                  <wp:docPr id="1" name="图片 1" descr="田健-简历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田健-简历照片"/>
                          <pic:cNvPicPr>
                            <a:picLocks noChangeAspect="1"/>
                          </pic:cNvPicPr>
                        </pic:nvPicPr>
                        <pic:blipFill>
                          <a:blip r:embed="rId4"/>
                          <a:srcRect l="16504" b="14805"/>
                          <a:stretch>
                            <a:fillRect/>
                          </a:stretch>
                        </pic:blipFill>
                        <pic:spPr>
                          <a:xfrm>
                            <a:off x="0" y="0"/>
                            <a:ext cx="1125855" cy="1474470"/>
                          </a:xfrm>
                          <a:prstGeom prst="rect">
                            <a:avLst/>
                          </a:prstGeom>
                        </pic:spPr>
                      </pic:pic>
                    </a:graphicData>
                  </a:graphic>
                </wp:inline>
              </w:drawing>
            </w: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职称</w:t>
            </w:r>
          </w:p>
        </w:tc>
        <w:tc>
          <w:tcPr>
            <w:tcW w:w="4983"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副研究员</w:t>
            </w:r>
          </w:p>
        </w:tc>
        <w:tc>
          <w:tcPr>
            <w:tcW w:w="1945"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年龄</w:t>
            </w:r>
          </w:p>
        </w:tc>
        <w:tc>
          <w:tcPr>
            <w:tcW w:w="4983"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color w:val="013298"/>
                <w:kern w:val="0"/>
                <w:sz w:val="15"/>
                <w:szCs w:val="15"/>
                <w:lang w:val="en-US" w:eastAsia="zh-CN"/>
              </w:rPr>
              <w:t>37</w:t>
            </w:r>
          </w:p>
        </w:tc>
        <w:tc>
          <w:tcPr>
            <w:tcW w:w="1945"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所在学院（系、所）</w:t>
            </w:r>
          </w:p>
        </w:tc>
        <w:tc>
          <w:tcPr>
            <w:tcW w:w="4983" w:type="dxa"/>
            <w:tcBorders>
              <w:tl2br w:val="nil"/>
              <w:tr2bl w:val="nil"/>
            </w:tcBorders>
            <w:shd w:val="clear" w:color="auto" w:fill="FFFFFF"/>
            <w:vAlign w:val="center"/>
          </w:tcPr>
          <w:p>
            <w:pPr>
              <w:widowControl/>
              <w:adjustRightInd w:val="0"/>
              <w:snapToGrid w:val="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lang w:val="en-US" w:eastAsia="zh-CN"/>
              </w:rPr>
              <w:t>建筑学院</w:t>
            </w:r>
          </w:p>
        </w:tc>
        <w:tc>
          <w:tcPr>
            <w:tcW w:w="1945"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4983"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color w:val="013298"/>
                <w:kern w:val="0"/>
                <w:sz w:val="15"/>
                <w:szCs w:val="15"/>
                <w:lang w:val="en-US" w:eastAsia="zh-CN"/>
              </w:rPr>
              <w:t>天津市南开区学府街新园村</w:t>
            </w:r>
          </w:p>
        </w:tc>
        <w:tc>
          <w:tcPr>
            <w:tcW w:w="1945"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4983"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376175"/>
                <w:sz w:val="14"/>
                <w:szCs w:val="14"/>
                <w:lang w:val="en-US" w:eastAsia="zh-CN"/>
              </w:rPr>
            </w:pPr>
            <w:r>
              <w:rPr>
                <w:rFonts w:hint="eastAsia" w:ascii="微软雅黑" w:hAnsi="微软雅黑" w:eastAsia="微软雅黑" w:cs="微软雅黑"/>
                <w:color w:val="013298"/>
                <w:kern w:val="0"/>
                <w:sz w:val="15"/>
                <w:szCs w:val="15"/>
                <w:lang w:val="en-US" w:eastAsia="zh-CN"/>
              </w:rPr>
              <w:t>693339189@qq.com</w:t>
            </w:r>
          </w:p>
        </w:tc>
        <w:tc>
          <w:tcPr>
            <w:tcW w:w="1945"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285"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联系方式</w:t>
            </w:r>
          </w:p>
        </w:tc>
        <w:tc>
          <w:tcPr>
            <w:tcW w:w="4983"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p>
        </w:tc>
        <w:tc>
          <w:tcPr>
            <w:tcW w:w="1945"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bottom"/>
          </w:tcPr>
          <w:p>
            <w:pPr>
              <w:widowControl/>
              <w:adjustRightInd w:val="0"/>
              <w:snapToGrid w:val="0"/>
              <w:jc w:val="left"/>
              <w:rPr>
                <w:rFonts w:ascii="微软雅黑" w:hAnsi="微软雅黑" w:eastAsia="微软雅黑" w:cs="微软雅黑"/>
                <w:color w:val="013298"/>
                <w:sz w:val="15"/>
                <w:szCs w:val="15"/>
              </w:rPr>
            </w:pPr>
            <w:r>
              <w:rPr>
                <w:rStyle w:val="8"/>
                <w:rFonts w:hint="eastAsia" w:ascii="微软雅黑" w:hAnsi="微软雅黑" w:eastAsia="微软雅黑" w:cs="微软雅黑"/>
                <w:color w:val="013298"/>
                <w:kern w:val="0"/>
                <w:sz w:val="15"/>
                <w:szCs w:val="15"/>
              </w:rPr>
              <w:t>主要研究方向：</w:t>
            </w:r>
          </w:p>
        </w:tc>
      </w:tr>
      <w:tr>
        <w:tblPrEx>
          <w:shd w:val="clear" w:color="auto" w:fill="FFFFFF"/>
          <w:tblCellMar>
            <w:top w:w="45" w:type="dxa"/>
            <w:left w:w="45" w:type="dxa"/>
            <w:bottom w:w="45" w:type="dxa"/>
            <w:right w:w="45" w:type="dxa"/>
          </w:tblCellMar>
        </w:tblPrEx>
        <w:trPr>
          <w:trHeight w:val="23"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after="78" w:afterLines="25"/>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国土空间与生态规划设计</w:t>
            </w:r>
          </w:p>
          <w:p>
            <w:pPr>
              <w:widowControl/>
              <w:spacing w:after="78" w:afterLines="25"/>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韧性城市与智慧乡村规划</w:t>
            </w:r>
          </w:p>
          <w:p>
            <w:pPr>
              <w:widowControl/>
              <w:spacing w:after="78" w:afterLines="25"/>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陆海统筹与滨海城乡布局</w:t>
            </w:r>
          </w:p>
          <w:p>
            <w:pPr>
              <w:widowControl/>
              <w:spacing w:after="78" w:afterLines="25"/>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气候变化与城市低碳转型</w:t>
            </w: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tblPrEx>
          <w:tblCellMar>
            <w:top w:w="45" w:type="dxa"/>
            <w:left w:w="45" w:type="dxa"/>
            <w:bottom w:w="45" w:type="dxa"/>
            <w:right w:w="45" w:type="dxa"/>
          </w:tblCellMar>
        </w:tblPrEx>
        <w:trPr>
          <w:trHeight w:val="10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rPr>
              <w:t>2017 - 2021</w:t>
            </w:r>
            <w:r>
              <w:rPr>
                <w:rFonts w:hint="eastAsia" w:ascii="微软雅黑" w:hAnsi="微软雅黑" w:eastAsia="微软雅黑" w:cs="微软雅黑"/>
                <w:color w:val="013298"/>
                <w:kern w:val="0"/>
                <w:sz w:val="15"/>
                <w:szCs w:val="15"/>
                <w:lang w:val="en-US" w:eastAsia="zh-CN"/>
              </w:rPr>
              <w:t>年</w:t>
            </w:r>
            <w:r>
              <w:rPr>
                <w:rFonts w:hint="eastAsia" w:ascii="微软雅黑" w:hAnsi="微软雅黑" w:eastAsia="微软雅黑" w:cs="微软雅黑"/>
                <w:color w:val="013298"/>
                <w:kern w:val="0"/>
                <w:sz w:val="15"/>
                <w:szCs w:val="15"/>
              </w:rPr>
              <w:t>，</w:t>
            </w:r>
            <w:r>
              <w:rPr>
                <w:rFonts w:hint="eastAsia" w:ascii="微软雅黑" w:hAnsi="微软雅黑" w:eastAsia="微软雅黑"/>
                <w:color w:val="013298"/>
                <w:kern w:val="0"/>
                <w:sz w:val="15"/>
                <w:szCs w:val="15"/>
              </w:rPr>
              <w:t>毕业于</w:t>
            </w:r>
            <w:r>
              <w:rPr>
                <w:rFonts w:hint="eastAsia" w:ascii="微软雅黑" w:hAnsi="微软雅黑" w:eastAsia="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天津大学，城乡规划学</w:t>
            </w:r>
            <w:r>
              <w:rPr>
                <w:rFonts w:hint="eastAsia" w:ascii="微软雅黑" w:hAnsi="微软雅黑" w:eastAsia="微软雅黑" w:cs="微软雅黑"/>
                <w:color w:val="013298"/>
                <w:kern w:val="0"/>
                <w:sz w:val="15"/>
                <w:szCs w:val="15"/>
                <w:lang w:val="en-US" w:eastAsia="zh-CN"/>
              </w:rPr>
              <w:t>专业</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获</w:t>
            </w:r>
            <w:r>
              <w:rPr>
                <w:rFonts w:hint="eastAsia" w:ascii="微软雅黑" w:hAnsi="微软雅黑" w:eastAsia="微软雅黑" w:cs="微软雅黑"/>
                <w:color w:val="013298"/>
                <w:kern w:val="0"/>
                <w:sz w:val="15"/>
                <w:szCs w:val="15"/>
              </w:rPr>
              <w:t>博士</w:t>
            </w:r>
            <w:r>
              <w:rPr>
                <w:rFonts w:hint="eastAsia" w:ascii="微软雅黑" w:hAnsi="微软雅黑" w:eastAsia="微软雅黑" w:cs="微软雅黑"/>
                <w:color w:val="013298"/>
                <w:kern w:val="0"/>
                <w:sz w:val="15"/>
                <w:szCs w:val="15"/>
                <w:lang w:val="en-US" w:eastAsia="zh-CN"/>
              </w:rPr>
              <w:t>学位</w:t>
            </w:r>
          </w:p>
          <w:p>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2010 - 2013</w:t>
            </w:r>
            <w:r>
              <w:rPr>
                <w:rFonts w:hint="eastAsia" w:ascii="微软雅黑" w:hAnsi="微软雅黑" w:eastAsia="微软雅黑" w:cs="微软雅黑"/>
                <w:color w:val="013298"/>
                <w:kern w:val="0"/>
                <w:sz w:val="15"/>
                <w:szCs w:val="15"/>
                <w:lang w:val="en-US" w:eastAsia="zh-CN"/>
              </w:rPr>
              <w:t>年</w:t>
            </w:r>
            <w:r>
              <w:rPr>
                <w:rFonts w:hint="eastAsia" w:ascii="微软雅黑" w:hAnsi="微软雅黑" w:eastAsia="微软雅黑" w:cs="微软雅黑"/>
                <w:color w:val="013298"/>
                <w:kern w:val="0"/>
                <w:sz w:val="15"/>
                <w:szCs w:val="15"/>
              </w:rPr>
              <w:t>，</w:t>
            </w:r>
            <w:r>
              <w:rPr>
                <w:rFonts w:hint="eastAsia" w:ascii="微软雅黑" w:hAnsi="微软雅黑" w:eastAsia="微软雅黑"/>
                <w:color w:val="013298"/>
                <w:kern w:val="0"/>
                <w:sz w:val="15"/>
                <w:szCs w:val="15"/>
              </w:rPr>
              <w:t>毕业于</w:t>
            </w:r>
            <w:r>
              <w:rPr>
                <w:rFonts w:hint="eastAsia" w:ascii="微软雅黑" w:hAnsi="微软雅黑" w:eastAsia="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天津大学，城市规划与设计</w:t>
            </w:r>
            <w:r>
              <w:rPr>
                <w:rFonts w:hint="eastAsia" w:ascii="微软雅黑" w:hAnsi="微软雅黑" w:eastAsia="微软雅黑" w:cs="微软雅黑"/>
                <w:color w:val="013298"/>
                <w:kern w:val="0"/>
                <w:sz w:val="15"/>
                <w:szCs w:val="15"/>
                <w:lang w:val="en-US" w:eastAsia="zh-CN"/>
              </w:rPr>
              <w:t>专业</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获</w:t>
            </w:r>
            <w:r>
              <w:rPr>
                <w:rFonts w:hint="eastAsia" w:ascii="微软雅黑" w:hAnsi="微软雅黑" w:eastAsia="微软雅黑" w:cs="微软雅黑"/>
                <w:color w:val="013298"/>
                <w:kern w:val="0"/>
                <w:sz w:val="15"/>
                <w:szCs w:val="15"/>
              </w:rPr>
              <w:t>硕士</w:t>
            </w:r>
            <w:r>
              <w:rPr>
                <w:rFonts w:hint="eastAsia" w:ascii="微软雅黑" w:hAnsi="微软雅黑" w:eastAsia="微软雅黑" w:cs="微软雅黑"/>
                <w:color w:val="013298"/>
                <w:kern w:val="0"/>
                <w:sz w:val="15"/>
                <w:szCs w:val="15"/>
                <w:lang w:val="en-US" w:eastAsia="zh-CN"/>
              </w:rPr>
              <w:t>学位</w:t>
            </w:r>
          </w:p>
          <w:p>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2005 - 2010</w:t>
            </w:r>
            <w:r>
              <w:rPr>
                <w:rFonts w:hint="eastAsia" w:ascii="微软雅黑" w:hAnsi="微软雅黑" w:eastAsia="微软雅黑" w:cs="微软雅黑"/>
                <w:color w:val="013298"/>
                <w:kern w:val="0"/>
                <w:sz w:val="15"/>
                <w:szCs w:val="15"/>
                <w:lang w:val="en-US" w:eastAsia="zh-CN"/>
              </w:rPr>
              <w:t>年</w:t>
            </w:r>
            <w:r>
              <w:rPr>
                <w:rFonts w:hint="eastAsia" w:ascii="微软雅黑" w:hAnsi="微软雅黑" w:eastAsia="微软雅黑" w:cs="微软雅黑"/>
                <w:color w:val="013298"/>
                <w:kern w:val="0"/>
                <w:sz w:val="15"/>
                <w:szCs w:val="15"/>
              </w:rPr>
              <w:t>，</w:t>
            </w:r>
            <w:r>
              <w:rPr>
                <w:rFonts w:hint="eastAsia" w:ascii="微软雅黑" w:hAnsi="微软雅黑" w:eastAsia="微软雅黑"/>
                <w:color w:val="013298"/>
                <w:kern w:val="0"/>
                <w:sz w:val="15"/>
                <w:szCs w:val="15"/>
              </w:rPr>
              <w:t>毕业于</w:t>
            </w:r>
            <w:r>
              <w:rPr>
                <w:rFonts w:hint="eastAsia" w:ascii="微软雅黑" w:hAnsi="微软雅黑" w:eastAsia="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天津大学，城市规划</w:t>
            </w:r>
            <w:r>
              <w:rPr>
                <w:rFonts w:hint="eastAsia" w:ascii="微软雅黑" w:hAnsi="微软雅黑" w:eastAsia="微软雅黑" w:cs="微软雅黑"/>
                <w:color w:val="013298"/>
                <w:kern w:val="0"/>
                <w:sz w:val="15"/>
                <w:szCs w:val="15"/>
                <w:lang w:val="en-US" w:eastAsia="zh-CN"/>
              </w:rPr>
              <w:t>专业</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获学士学位</w:t>
            </w: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tblPrEx>
          <w:tblCellMar>
            <w:top w:w="45" w:type="dxa"/>
            <w:left w:w="45" w:type="dxa"/>
            <w:bottom w:w="45" w:type="dxa"/>
            <w:right w:w="45" w:type="dxa"/>
          </w:tblCellMar>
        </w:tblPrEx>
        <w:trPr>
          <w:trHeight w:val="103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rPr>
              <w:t>　　</w:t>
            </w:r>
            <w:r>
              <w:rPr>
                <w:rFonts w:hint="eastAsia" w:ascii="微软雅黑" w:hAnsi="微软雅黑" w:eastAsia="微软雅黑" w:cs="微软雅黑"/>
                <w:color w:val="013298"/>
                <w:kern w:val="0"/>
                <w:sz w:val="15"/>
                <w:szCs w:val="15"/>
                <w:lang w:val="en-US" w:eastAsia="zh-CN"/>
              </w:rPr>
              <w:t>2020/06 - 今，天津城建大学建筑学院，</w:t>
            </w:r>
            <w:r>
              <w:rPr>
                <w:rFonts w:hint="eastAsia" w:ascii="微软雅黑" w:hAnsi="微软雅黑" w:eastAsia="微软雅黑" w:cs="微软雅黑"/>
                <w:color w:val="013298"/>
                <w:kern w:val="0"/>
                <w:sz w:val="15"/>
                <w:szCs w:val="15"/>
              </w:rPr>
              <w:t>硕士生导师</w:t>
            </w:r>
          </w:p>
          <w:p>
            <w:pPr>
              <w:widowControl/>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2022/06 - 今，天津大学建筑学院，副研究员/副系主任/硕士生导师</w:t>
            </w:r>
          </w:p>
          <w:p>
            <w:pPr>
              <w:widowControl/>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2024/01 - 2025/01，湖北省恩施州自然资源和规划局，副局长（中组部挂职）</w:t>
            </w:r>
          </w:p>
          <w:p>
            <w:pPr>
              <w:widowControl/>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2021/09 - 2023/09，同济大学，建筑与城市规划学院，博士后</w:t>
            </w:r>
          </w:p>
          <w:p>
            <w:pPr>
              <w:widowControl/>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2016/10 - 2022/06，天津市城市规划设计研究院，高级规划师/国家注册规划师</w:t>
            </w:r>
          </w:p>
          <w:p>
            <w:pPr>
              <w:widowControl/>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2013/01 - 2016/09，中国城市规划设计研究院，城市规划师/国家注册规划师　　</w:t>
            </w: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tc>
      </w:tr>
      <w:tr>
        <w:tblPrEx>
          <w:tblCellMar>
            <w:top w:w="45" w:type="dxa"/>
            <w:left w:w="45" w:type="dxa"/>
            <w:bottom w:w="45" w:type="dxa"/>
            <w:right w:w="45" w:type="dxa"/>
          </w:tblCellMar>
        </w:tblPrEx>
        <w:trPr>
          <w:trHeight w:val="494"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lang w:val="en-US" w:eastAsia="zh-CN"/>
              </w:rPr>
              <w:t>研究生规划设计实践</w:t>
            </w:r>
          </w:p>
        </w:tc>
      </w:tr>
      <w:tr>
        <w:tblPrEx>
          <w:tblCellMar>
            <w:top w:w="45" w:type="dxa"/>
            <w:left w:w="45" w:type="dxa"/>
            <w:bottom w:w="45" w:type="dxa"/>
            <w:right w:w="45" w:type="dxa"/>
          </w:tblCellMar>
        </w:tblPrEx>
        <w:trPr>
          <w:trHeight w:val="126"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主要学术兼职</w:t>
            </w:r>
          </w:p>
        </w:tc>
      </w:tr>
      <w:tr>
        <w:tblPrEx>
          <w:shd w:val="clear" w:color="auto" w:fill="FFFFFF"/>
          <w:tblCellMar>
            <w:top w:w="45" w:type="dxa"/>
            <w:left w:w="45" w:type="dxa"/>
            <w:bottom w:w="45" w:type="dxa"/>
            <w:right w:w="45" w:type="dxa"/>
          </w:tblCellMar>
        </w:tblPrEx>
        <w:trPr>
          <w:trHeight w:val="810"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中国城市科学研究会 韧性城市专业委员会       委员</w:t>
            </w:r>
          </w:p>
          <w:p>
            <w:pPr>
              <w:widowControl/>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天津市城市规划学会 海岸带与陆海统筹专委会   副主任</w:t>
            </w:r>
          </w:p>
          <w:p>
            <w:pPr>
              <w:widowControl/>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天津市城市规划学会 小城镇与乡村规划专委会   副秘书长</w:t>
            </w:r>
          </w:p>
          <w:p>
            <w:pPr>
              <w:widowControl/>
              <w:ind w:firstLine="300" w:firstLineChars="200"/>
              <w:jc w:val="left"/>
              <w:rPr>
                <w:rFonts w:ascii="微软雅黑" w:hAnsi="微软雅黑" w:eastAsia="微软雅黑" w:cs="微软雅黑"/>
                <w:color w:val="FF0000"/>
                <w:kern w:val="0"/>
                <w:sz w:val="15"/>
                <w:szCs w:val="15"/>
              </w:rPr>
            </w:pPr>
            <w:r>
              <w:rPr>
                <w:rFonts w:hint="eastAsia" w:ascii="微软雅黑" w:hAnsi="微软雅黑" w:eastAsia="微软雅黑" w:cs="微软雅黑"/>
                <w:color w:val="013298"/>
                <w:kern w:val="0"/>
                <w:sz w:val="15"/>
                <w:szCs w:val="15"/>
              </w:rPr>
              <w:t>天津市城市规划学会 城市更新专委会           副秘书长</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tblPrEx>
          <w:tblCellMar>
            <w:top w:w="45" w:type="dxa"/>
            <w:left w:w="45" w:type="dxa"/>
            <w:bottom w:w="45" w:type="dxa"/>
            <w:right w:w="45" w:type="dxa"/>
          </w:tblCellMar>
        </w:tblPrEx>
        <w:trPr>
          <w:trHeight w:val="894"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numPr>
                <w:ilvl w:val="0"/>
                <w:numId w:val="1"/>
              </w:numPr>
              <w:spacing w:before="78" w:beforeLines="25"/>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第十八届天津市社会科学优秀成果奖一等奖</w:t>
            </w:r>
          </w:p>
          <w:p>
            <w:pPr>
              <w:widowControl/>
              <w:numPr>
                <w:ilvl w:val="0"/>
                <w:numId w:val="1"/>
              </w:numPr>
              <w:spacing w:before="78" w:beforeLines="25"/>
              <w:ind w:left="0" w:leftChars="0" w:firstLine="288"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xml:space="preserve">2017年度全国优秀城乡规划设计奖二等奖（村镇规划类） </w:t>
            </w:r>
          </w:p>
          <w:p>
            <w:pPr>
              <w:widowControl/>
              <w:numPr>
                <w:ilvl w:val="0"/>
                <w:numId w:val="1"/>
              </w:numPr>
              <w:spacing w:before="78" w:beforeLines="25"/>
              <w:ind w:left="0" w:leftChars="0" w:firstLine="288"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xml:space="preserve">2017年度全国优秀城乡规划设计奖二等奖（城市规划类） </w:t>
            </w:r>
          </w:p>
          <w:p>
            <w:pPr>
              <w:widowControl/>
              <w:numPr>
                <w:ilvl w:val="0"/>
                <w:numId w:val="1"/>
              </w:numPr>
              <w:spacing w:before="78" w:beforeLines="25"/>
              <w:ind w:left="0" w:leftChars="0" w:firstLine="288"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xml:space="preserve">2017年度全国优秀城乡规划设计奖三等奖（村镇规划类） </w:t>
            </w:r>
          </w:p>
          <w:p>
            <w:pPr>
              <w:widowControl/>
              <w:numPr>
                <w:ilvl w:val="0"/>
                <w:numId w:val="1"/>
              </w:numPr>
              <w:spacing w:before="78" w:beforeLines="25"/>
              <w:ind w:left="0" w:leftChars="0" w:firstLine="288"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2019年度全国优秀城市规划设计奖三等奖</w:t>
            </w:r>
          </w:p>
          <w:p>
            <w:pPr>
              <w:widowControl/>
              <w:numPr>
                <w:ilvl w:val="0"/>
                <w:numId w:val="1"/>
              </w:numPr>
              <w:spacing w:before="78" w:beforeLines="25"/>
              <w:ind w:left="0" w:leftChars="0" w:firstLine="288"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2020-2021年度国家优质工程奖</w:t>
            </w:r>
          </w:p>
          <w:p>
            <w:pPr>
              <w:widowControl/>
              <w:numPr>
                <w:ilvl w:val="0"/>
                <w:numId w:val="1"/>
              </w:numPr>
              <w:spacing w:before="78" w:beforeLines="25"/>
              <w:ind w:left="0" w:leftChars="0" w:firstLine="288"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2017年度天津市优秀城乡规划设计奖一等奖（村镇规划类）</w:t>
            </w:r>
          </w:p>
          <w:p>
            <w:pPr>
              <w:widowControl/>
              <w:numPr>
                <w:ilvl w:val="0"/>
                <w:numId w:val="1"/>
              </w:numPr>
              <w:spacing w:before="78" w:beforeLines="25"/>
              <w:ind w:left="0" w:leftChars="0" w:firstLine="288"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2017年度天津市优秀城乡规划设计奖一等奖（城市规划类）</w:t>
            </w:r>
          </w:p>
          <w:p>
            <w:pPr>
              <w:widowControl/>
              <w:numPr>
                <w:ilvl w:val="0"/>
                <w:numId w:val="1"/>
              </w:numPr>
              <w:spacing w:before="78" w:beforeLines="25"/>
              <w:ind w:left="0" w:leftChars="0" w:firstLine="288"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2019年度天津市优秀城乡规划设计奖一等奖（城市规划类）</w:t>
            </w:r>
          </w:p>
          <w:p>
            <w:pPr>
              <w:widowControl/>
              <w:numPr>
                <w:ilvl w:val="0"/>
                <w:numId w:val="1"/>
              </w:numPr>
              <w:spacing w:before="78" w:beforeLines="25"/>
              <w:ind w:left="0" w:leftChars="0" w:firstLine="288"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2021年度天津市优秀城市规划设计奖一等奖</w:t>
            </w:r>
          </w:p>
          <w:p>
            <w:pPr>
              <w:widowControl/>
              <w:numPr>
                <w:ilvl w:val="0"/>
                <w:numId w:val="1"/>
              </w:numPr>
              <w:spacing w:before="78" w:beforeLines="25"/>
              <w:ind w:left="0" w:leftChars="0" w:firstLine="288"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2023年度天津市优秀城市规划设计奖一等奖（村镇规划类）</w:t>
            </w:r>
          </w:p>
          <w:p>
            <w:pPr>
              <w:widowControl/>
              <w:numPr>
                <w:ilvl w:val="0"/>
                <w:numId w:val="1"/>
              </w:numPr>
              <w:spacing w:before="78" w:beforeLines="25"/>
              <w:ind w:left="0" w:leftChars="0" w:firstLine="288" w:firstLineChars="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2023年度天津市优秀城市规划设计奖一等奖</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【在研项目】</w:t>
            </w:r>
          </w:p>
          <w:p>
            <w:pPr>
              <w:widowControl/>
              <w:numPr>
                <w:ilvl w:val="0"/>
                <w:numId w:val="2"/>
              </w:numPr>
              <w:ind w:left="225" w:leftChars="104" w:hanging="7"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国家自然科学基金面上项目</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基于智慧与韧性适灾机理的沿海河口城市雨潮组合风险防控规划理论，主持</w:t>
            </w:r>
          </w:p>
          <w:p>
            <w:pPr>
              <w:widowControl/>
              <w:numPr>
                <w:ilvl w:val="0"/>
                <w:numId w:val="2"/>
              </w:numPr>
              <w:ind w:left="225" w:leftChars="104" w:hanging="7"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天津市哲学社会科学规划智库项目</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天津市智慧应对极端气候灾害的防灾能力建设及风险的韧性防范体系研究，主持</w:t>
            </w:r>
          </w:p>
          <w:p>
            <w:pPr>
              <w:widowControl/>
              <w:numPr>
                <w:ilvl w:val="0"/>
                <w:numId w:val="2"/>
              </w:numPr>
              <w:ind w:left="225" w:leftChars="104" w:hanging="7"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天津市哲学社会科学规划年度项目</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双循环格局下的天津乡村产业风险识别及韧性提升策略研究，主持</w:t>
            </w:r>
          </w:p>
          <w:p>
            <w:pPr>
              <w:widowControl/>
              <w:numPr>
                <w:ilvl w:val="0"/>
                <w:numId w:val="2"/>
              </w:numPr>
              <w:ind w:left="225" w:leftChars="104" w:hanging="7"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天津市科协重点决策咨询项目重大课题</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提升天津市对海河流域洪水等灾害防御对策研究，主持</w:t>
            </w:r>
          </w:p>
          <w:p>
            <w:pPr>
              <w:widowControl/>
              <w:numPr>
                <w:ilvl w:val="0"/>
                <w:numId w:val="2"/>
              </w:numPr>
              <w:ind w:left="225" w:leftChars="104" w:hanging="7"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国家自然科学基金面上项目</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基于大气安全阈值约束与控污物理环境调适的京津冀产-城低污布局理论研究，第三完成</w:t>
            </w:r>
          </w:p>
          <w:p>
            <w:pPr>
              <w:widowControl/>
              <w:numPr>
                <w:ilvl w:val="0"/>
                <w:numId w:val="2"/>
              </w:numPr>
              <w:ind w:left="225" w:leftChars="104" w:hanging="7" w:firstLineChars="0"/>
              <w:jc w:val="left"/>
              <w:rPr>
                <w:rFonts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国家重点研发计划</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城市系统韧性功能提升关键技术研究与应用（课题四：资源约束下城市（群）系统韧性功能协同恢复和提升技术），科研骨干</w:t>
            </w:r>
          </w:p>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【完成项目】</w:t>
            </w:r>
          </w:p>
          <w:p>
            <w:pPr>
              <w:widowControl/>
              <w:numPr>
                <w:ilvl w:val="0"/>
                <w:numId w:val="3"/>
              </w:numPr>
              <w:ind w:left="445" w:leftChars="95" w:hanging="246" w:hangingChars="16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中国博士后科学基金面上项目</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应对逆全球化风险的沿海外向型乡村产业韧性规划方法，主持</w:t>
            </w:r>
          </w:p>
          <w:p>
            <w:pPr>
              <w:widowControl/>
              <w:numPr>
                <w:ilvl w:val="0"/>
                <w:numId w:val="3"/>
              </w:numPr>
              <w:ind w:left="445" w:leftChars="95" w:hanging="246" w:hangingChars="16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天津市安全重点调研课题</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应对全球变局的天津临港产业风险调查及安全保障途径，主持</w:t>
            </w:r>
          </w:p>
          <w:p>
            <w:pPr>
              <w:widowControl/>
              <w:numPr>
                <w:ilvl w:val="0"/>
                <w:numId w:val="3"/>
              </w:numPr>
              <w:ind w:left="445" w:leftChars="95" w:hanging="246" w:hangingChars="16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天津市建设系统软课题</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“城市双修”背景下天津生态宜居城市“微更新”模式与路径研究——以河东区为例，主持</w:t>
            </w:r>
          </w:p>
          <w:p>
            <w:pPr>
              <w:widowControl/>
              <w:numPr>
                <w:ilvl w:val="0"/>
                <w:numId w:val="3"/>
              </w:numPr>
              <w:ind w:left="445" w:leftChars="95" w:hanging="246" w:hangingChars="16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国家社会科学基金重点项目</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应对极端气候变化的滨海大城市安全战略选择与智慧型防灾策略研究，第二完成</w:t>
            </w:r>
          </w:p>
          <w:p>
            <w:pPr>
              <w:widowControl/>
              <w:numPr>
                <w:ilvl w:val="0"/>
                <w:numId w:val="3"/>
              </w:numPr>
              <w:ind w:left="445" w:leftChars="95" w:hanging="246" w:hangingChars="16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国家重点研发计划</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村镇聚落空间重构数字化模拟及评价模型（课题四：村镇聚落可持续发展作用机理与设计优化），科研骨干</w:t>
            </w:r>
          </w:p>
          <w:p>
            <w:pPr>
              <w:widowControl/>
              <w:numPr>
                <w:ilvl w:val="0"/>
                <w:numId w:val="3"/>
              </w:numPr>
              <w:ind w:left="445" w:leftChars="95" w:hanging="246" w:hangingChars="164"/>
              <w:jc w:val="left"/>
              <w:rPr>
                <w:rFonts w:ascii="微软雅黑" w:hAnsi="微软雅黑" w:eastAsia="微软雅黑" w:cs="微软雅黑"/>
                <w:color w:val="013298"/>
                <w:kern w:val="0"/>
                <w:sz w:val="15"/>
                <w:szCs w:val="15"/>
              </w:rPr>
            </w:pPr>
            <w:r>
              <w:rPr>
                <w:rFonts w:hint="eastAsia" w:ascii="微软雅黑" w:hAnsi="微软雅黑" w:eastAsia="微软雅黑" w:cs="微软雅黑"/>
                <w:b/>
                <w:bCs/>
                <w:color w:val="013298"/>
                <w:kern w:val="0"/>
                <w:sz w:val="15"/>
                <w:szCs w:val="15"/>
              </w:rPr>
              <w:t>国家重点研发计划</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闽三角城市群生态安全保障与海岸带修复技术（课题三：闽三角生态安全格局网络设计及安全保障技术集成与示范），科研骨干</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firstLine="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【出版著作与教材】</w:t>
            </w:r>
            <w:r>
              <w:rPr>
                <w:rFonts w:hint="eastAsia" w:ascii="微软雅黑" w:hAnsi="微软雅黑" w:eastAsia="微软雅黑" w:cs="微软雅黑"/>
                <w:color w:val="013298"/>
                <w:kern w:val="0"/>
                <w:sz w:val="15"/>
                <w:szCs w:val="15"/>
              </w:rPr>
              <w:br w:type="textWrapping"/>
            </w:r>
            <w:r>
              <w:rPr>
                <w:rFonts w:hint="eastAsia" w:ascii="微软雅黑" w:hAnsi="微软雅黑" w:eastAsia="微软雅黑" w:cs="微软雅黑"/>
                <w:color w:val="013298"/>
                <w:kern w:val="0"/>
                <w:sz w:val="15"/>
                <w:szCs w:val="15"/>
              </w:rPr>
              <w:t>　　1.</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乡村韧性规划理论与方法——以城市边缘区为例[M]. 北京：</w:t>
            </w:r>
            <w:r>
              <w:rPr>
                <w:rFonts w:hint="eastAsia" w:ascii="微软雅黑" w:hAnsi="微软雅黑" w:eastAsia="微软雅黑" w:cs="微软雅黑"/>
                <w:b/>
                <w:bCs/>
                <w:color w:val="013298"/>
                <w:kern w:val="0"/>
                <w:sz w:val="15"/>
                <w:szCs w:val="15"/>
              </w:rPr>
              <w:t>中国建筑工业出版社</w:t>
            </w:r>
            <w:r>
              <w:rPr>
                <w:rFonts w:hint="eastAsia" w:ascii="微软雅黑" w:hAnsi="微软雅黑" w:eastAsia="微软雅黑" w:cs="微软雅黑"/>
                <w:color w:val="013298"/>
                <w:kern w:val="0"/>
                <w:sz w:val="15"/>
                <w:szCs w:val="15"/>
              </w:rPr>
              <w:t>,2024.</w:t>
            </w:r>
          </w:p>
          <w:p>
            <w:pPr>
              <w:widowControl/>
              <w:numPr>
                <w:ilvl w:val="0"/>
                <w:numId w:val="4"/>
              </w:numPr>
              <w:ind w:firstLine="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城市风环境设计——低碳规划理论与CFD模拟分析[M]. 北京：</w:t>
            </w:r>
            <w:r>
              <w:rPr>
                <w:rFonts w:hint="eastAsia" w:ascii="微软雅黑" w:hAnsi="微软雅黑" w:eastAsia="微软雅黑" w:cs="微软雅黑"/>
                <w:b/>
                <w:bCs/>
                <w:color w:val="013298"/>
                <w:kern w:val="0"/>
                <w:sz w:val="15"/>
                <w:szCs w:val="15"/>
              </w:rPr>
              <w:t>中国建筑工业出版社</w:t>
            </w:r>
            <w:r>
              <w:rPr>
                <w:rFonts w:hint="eastAsia" w:ascii="微软雅黑" w:hAnsi="微软雅黑" w:eastAsia="微软雅黑" w:cs="微软雅黑"/>
                <w:color w:val="013298"/>
                <w:kern w:val="0"/>
                <w:sz w:val="15"/>
                <w:szCs w:val="15"/>
              </w:rPr>
              <w:t>,2023.</w:t>
            </w:r>
          </w:p>
          <w:p>
            <w:pPr>
              <w:widowControl/>
              <w:numPr>
                <w:ilvl w:val="0"/>
                <w:numId w:val="4"/>
              </w:numPr>
              <w:ind w:left="0" w:leftChars="0" w:firstLine="300" w:firstLineChars="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存量发展期旧城区更新方法[M]. 北京：</w:t>
            </w:r>
            <w:r>
              <w:rPr>
                <w:rFonts w:hint="eastAsia" w:ascii="微软雅黑" w:hAnsi="微软雅黑" w:eastAsia="微软雅黑" w:cs="微软雅黑"/>
                <w:b/>
                <w:bCs/>
                <w:color w:val="013298"/>
                <w:kern w:val="0"/>
                <w:sz w:val="15"/>
                <w:szCs w:val="15"/>
              </w:rPr>
              <w:t>中国建筑工业出版社</w:t>
            </w:r>
            <w:r>
              <w:rPr>
                <w:rFonts w:hint="eastAsia" w:ascii="微软雅黑" w:hAnsi="微软雅黑" w:eastAsia="微软雅黑" w:cs="微软雅黑"/>
                <w:color w:val="013298"/>
                <w:kern w:val="0"/>
                <w:sz w:val="15"/>
                <w:szCs w:val="15"/>
              </w:rPr>
              <w:t>,2020.</w:t>
            </w:r>
          </w:p>
          <w:p>
            <w:pPr>
              <w:widowControl/>
              <w:adjustRightInd w:val="0"/>
              <w:snapToGrid w:val="0"/>
              <w:spacing w:line="200" w:lineRule="exact"/>
              <w:jc w:val="left"/>
              <w:rPr>
                <w:rFonts w:ascii="微软雅黑" w:hAnsi="微软雅黑" w:eastAsia="微软雅黑" w:cs="微软雅黑"/>
                <w:color w:val="013298"/>
                <w:kern w:val="0"/>
                <w:sz w:val="15"/>
                <w:szCs w:val="15"/>
              </w:rPr>
            </w:pPr>
          </w:p>
          <w:p>
            <w:pPr>
              <w:widowControl/>
              <w:adjustRightInd w:val="0"/>
              <w:snapToGrid w:val="0"/>
              <w:spacing w:line="200" w:lineRule="exact"/>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【发表论文】已在国内外学术刊物发表学术论文</w:t>
            </w:r>
            <w:r>
              <w:rPr>
                <w:rFonts w:hint="eastAsia" w:ascii="微软雅黑" w:hAnsi="微软雅黑" w:eastAsia="微软雅黑" w:cs="微软雅黑"/>
                <w:color w:val="013298"/>
                <w:kern w:val="0"/>
                <w:sz w:val="15"/>
                <w:szCs w:val="15"/>
                <w:lang w:val="en-US" w:eastAsia="zh-CN"/>
              </w:rPr>
              <w:t>80</w:t>
            </w:r>
            <w:r>
              <w:rPr>
                <w:rFonts w:hint="eastAsia" w:ascii="微软雅黑" w:hAnsi="微软雅黑" w:eastAsia="微软雅黑" w:cs="微软雅黑"/>
                <w:color w:val="013298"/>
                <w:kern w:val="0"/>
                <w:sz w:val="15"/>
                <w:szCs w:val="15"/>
              </w:rPr>
              <w:t>余篇，</w:t>
            </w:r>
            <w:r>
              <w:rPr>
                <w:rFonts w:hint="eastAsia" w:ascii="微软雅黑" w:hAnsi="微软雅黑" w:eastAsia="微软雅黑" w:cs="微软雅黑"/>
                <w:color w:val="013298"/>
                <w:kern w:val="0"/>
                <w:sz w:val="15"/>
                <w:szCs w:val="15"/>
                <w:lang w:val="en-US" w:eastAsia="zh-CN"/>
              </w:rPr>
              <w:t>代表作</w:t>
            </w:r>
            <w:r>
              <w:rPr>
                <w:rFonts w:hint="eastAsia" w:ascii="微软雅黑" w:hAnsi="微软雅黑" w:eastAsia="微软雅黑" w:cs="微软雅黑"/>
                <w:color w:val="013298"/>
                <w:kern w:val="0"/>
                <w:sz w:val="15"/>
                <w:szCs w:val="15"/>
              </w:rPr>
              <w:t>包括：</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 城乡资源配置视角下西藏城镇化路径重构与国土空间规划响应[J].</w:t>
            </w:r>
            <w:r>
              <w:rPr>
                <w:rFonts w:hint="eastAsia" w:ascii="微软雅黑" w:hAnsi="微软雅黑" w:eastAsia="微软雅黑" w:cs="微软雅黑"/>
                <w:b/>
                <w:bCs/>
                <w:color w:val="013298"/>
                <w:kern w:val="0"/>
                <w:sz w:val="15"/>
                <w:szCs w:val="15"/>
              </w:rPr>
              <w:t>城市规划学刊</w:t>
            </w:r>
            <w:r>
              <w:rPr>
                <w:rFonts w:hint="eastAsia" w:ascii="微软雅黑" w:hAnsi="微软雅黑" w:eastAsia="微软雅黑" w:cs="微软雅黑"/>
                <w:color w:val="013298"/>
                <w:kern w:val="0"/>
                <w:sz w:val="15"/>
                <w:szCs w:val="15"/>
              </w:rPr>
              <w:t>，2021(06)：78-85.</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 城市边缘区乡村产业系统风险评估与韧性格局重构——以天津西郊为例[J].</w:t>
            </w:r>
            <w:r>
              <w:rPr>
                <w:rFonts w:hint="eastAsia" w:ascii="微软雅黑" w:hAnsi="微软雅黑" w:eastAsia="微软雅黑" w:cs="微软雅黑"/>
                <w:b/>
                <w:bCs/>
                <w:color w:val="013298"/>
                <w:kern w:val="0"/>
                <w:sz w:val="15"/>
                <w:szCs w:val="15"/>
              </w:rPr>
              <w:t>城市规划</w:t>
            </w:r>
            <w:r>
              <w:rPr>
                <w:rFonts w:hint="eastAsia" w:ascii="微软雅黑" w:hAnsi="微软雅黑" w:eastAsia="微软雅黑" w:cs="微软雅黑"/>
                <w:color w:val="013298"/>
                <w:kern w:val="0"/>
                <w:sz w:val="15"/>
                <w:szCs w:val="15"/>
              </w:rPr>
              <w:t xml:space="preserve">，2021(10)：19-30+58.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第一作者.“平衡”与“共赢”——基于社会生态系统重构的绿心地区规划策略研究[J].</w:t>
            </w:r>
            <w:r>
              <w:rPr>
                <w:rFonts w:hint="eastAsia" w:ascii="微软雅黑" w:hAnsi="微软雅黑" w:eastAsia="微软雅黑" w:cs="微软雅黑"/>
                <w:b/>
                <w:bCs/>
                <w:color w:val="013298"/>
                <w:kern w:val="0"/>
                <w:sz w:val="15"/>
                <w:szCs w:val="15"/>
              </w:rPr>
              <w:t>城市规划</w:t>
            </w:r>
            <w:r>
              <w:rPr>
                <w:rFonts w:hint="eastAsia" w:ascii="微软雅黑" w:hAnsi="微软雅黑" w:eastAsia="微软雅黑" w:cs="微软雅黑"/>
                <w:color w:val="013298"/>
                <w:kern w:val="0"/>
                <w:sz w:val="15"/>
                <w:szCs w:val="15"/>
              </w:rPr>
              <w:t xml:space="preserve">，2017（11）：80-88.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 社会生态学视角下的地域文化小镇交互式设计方法研究——以西藏吞巴乡为例[J].</w:t>
            </w:r>
            <w:r>
              <w:rPr>
                <w:rFonts w:hint="eastAsia" w:ascii="微软雅黑" w:hAnsi="微软雅黑" w:eastAsia="微软雅黑" w:cs="微软雅黑"/>
                <w:b/>
                <w:bCs/>
                <w:color w:val="013298"/>
                <w:kern w:val="0"/>
                <w:sz w:val="15"/>
                <w:szCs w:val="15"/>
              </w:rPr>
              <w:t>建筑学报</w:t>
            </w:r>
            <w:r>
              <w:rPr>
                <w:rFonts w:hint="eastAsia" w:ascii="微软雅黑" w:hAnsi="微软雅黑" w:eastAsia="微软雅黑" w:cs="微软雅黑"/>
                <w:color w:val="013298"/>
                <w:kern w:val="0"/>
                <w:sz w:val="15"/>
                <w:szCs w:val="15"/>
              </w:rPr>
              <w:t xml:space="preserve">，2018（S1）：93-98.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 重构·重生·重现——基于行动规划的传统乡村“微”振兴策略与实践探索[J].</w:t>
            </w:r>
            <w:r>
              <w:rPr>
                <w:rFonts w:hint="eastAsia" w:ascii="微软雅黑" w:hAnsi="微软雅黑" w:eastAsia="微软雅黑" w:cs="微软雅黑"/>
                <w:b/>
                <w:bCs/>
                <w:color w:val="013298"/>
                <w:kern w:val="0"/>
                <w:sz w:val="15"/>
                <w:szCs w:val="15"/>
              </w:rPr>
              <w:t>城市发展研究</w:t>
            </w:r>
            <w:r>
              <w:rPr>
                <w:rFonts w:hint="eastAsia" w:ascii="微软雅黑" w:hAnsi="微软雅黑" w:eastAsia="微软雅黑" w:cs="微软雅黑"/>
                <w:color w:val="013298"/>
                <w:kern w:val="0"/>
                <w:sz w:val="15"/>
                <w:szCs w:val="15"/>
              </w:rPr>
              <w:t xml:space="preserve">，2021（01）：60-70.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 基于复合生态平衡的城市边缘区生态安全格局重构——以铜陵东湖为例[J].</w:t>
            </w:r>
            <w:r>
              <w:rPr>
                <w:rFonts w:hint="eastAsia" w:ascii="微软雅黑" w:hAnsi="微软雅黑" w:eastAsia="微软雅黑" w:cs="微软雅黑"/>
                <w:b/>
                <w:bCs/>
                <w:color w:val="013298"/>
                <w:kern w:val="0"/>
                <w:sz w:val="15"/>
                <w:szCs w:val="15"/>
              </w:rPr>
              <w:t>中国园林</w:t>
            </w:r>
            <w:r>
              <w:rPr>
                <w:rFonts w:hint="eastAsia" w:ascii="微软雅黑" w:hAnsi="微软雅黑" w:eastAsia="微软雅黑" w:cs="微软雅黑"/>
                <w:color w:val="013298"/>
                <w:kern w:val="0"/>
                <w:sz w:val="15"/>
                <w:szCs w:val="15"/>
              </w:rPr>
              <w:t xml:space="preserve">，2019（02）：92-97.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xml:space="preserve">第一作者，SCI检索. Intelligent identification and management of flood risk areas in high-density blocks from the perspective of flood regulation supply and demand matching. </w:t>
            </w:r>
            <w:r>
              <w:rPr>
                <w:rFonts w:hint="eastAsia" w:ascii="微软雅黑" w:hAnsi="微软雅黑" w:eastAsia="微软雅黑" w:cs="微软雅黑"/>
                <w:b/>
                <w:bCs/>
                <w:color w:val="013298"/>
                <w:kern w:val="0"/>
                <w:sz w:val="15"/>
                <w:szCs w:val="15"/>
              </w:rPr>
              <w:t>Ecological Indicators</w:t>
            </w:r>
            <w:r>
              <w:rPr>
                <w:rFonts w:hint="eastAsia" w:ascii="微软雅黑" w:hAnsi="微软雅黑" w:eastAsia="微软雅黑" w:cs="微软雅黑"/>
                <w:color w:val="013298"/>
                <w:kern w:val="0"/>
                <w:sz w:val="15"/>
                <w:szCs w:val="15"/>
              </w:rPr>
              <w:t>, Volume 160, March 2024, 111799.</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xml:space="preserve">第一作者，SSCI检索. How Urban Expansion Triggers Spatio-Temporal Differentiation of Systemic Risk in Suburban Rural Areas: A Case Study of Tianjin, China. </w:t>
            </w:r>
            <w:r>
              <w:rPr>
                <w:rFonts w:hint="eastAsia" w:ascii="微软雅黑" w:hAnsi="微软雅黑" w:eastAsia="微软雅黑" w:cs="微软雅黑"/>
                <w:b/>
                <w:bCs/>
                <w:color w:val="013298"/>
                <w:kern w:val="0"/>
                <w:sz w:val="15"/>
                <w:szCs w:val="15"/>
              </w:rPr>
              <w:t>Land</w:t>
            </w:r>
            <w:r>
              <w:rPr>
                <w:rFonts w:hint="eastAsia" w:ascii="微软雅黑" w:hAnsi="微软雅黑" w:eastAsia="微软雅黑" w:cs="微软雅黑"/>
                <w:color w:val="013298"/>
                <w:kern w:val="0"/>
                <w:sz w:val="15"/>
                <w:szCs w:val="15"/>
              </w:rPr>
              <w:t xml:space="preserve"> 2022,11(11),1877.</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xml:space="preserve">第一作者，SCI/SSCI检索. Assessment of Supply and Demand of Regional Flood Regulation Ecosystem Services and Zoning Management in Response to Flood Disasters: A Case Study of Fujian Delta. </w:t>
            </w:r>
            <w:r>
              <w:rPr>
                <w:rFonts w:hint="eastAsia" w:ascii="微软雅黑" w:hAnsi="微软雅黑" w:eastAsia="微软雅黑" w:cs="微软雅黑"/>
                <w:b/>
                <w:bCs/>
                <w:color w:val="013298"/>
                <w:kern w:val="0"/>
                <w:sz w:val="15"/>
                <w:szCs w:val="15"/>
              </w:rPr>
              <w:t>Int. J. Environ. Res. Public Health</w:t>
            </w:r>
            <w:r>
              <w:rPr>
                <w:rFonts w:hint="eastAsia" w:ascii="微软雅黑" w:hAnsi="微软雅黑" w:eastAsia="微软雅黑" w:cs="微软雅黑"/>
                <w:color w:val="013298"/>
                <w:kern w:val="0"/>
                <w:sz w:val="15"/>
                <w:szCs w:val="15"/>
              </w:rPr>
              <w:t xml:space="preserve"> 2023, 20(1), 589.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 基于韧性理念的生态功能区乡村“三生”脆弱性治理与空间规划响应[J].</w:t>
            </w:r>
            <w:r>
              <w:rPr>
                <w:rFonts w:hint="eastAsia" w:ascii="微软雅黑" w:hAnsi="微软雅黑" w:eastAsia="微软雅黑" w:cs="微软雅黑"/>
                <w:b/>
                <w:bCs/>
                <w:color w:val="013298"/>
                <w:kern w:val="0"/>
                <w:sz w:val="15"/>
                <w:szCs w:val="15"/>
              </w:rPr>
              <w:t>规划师</w:t>
            </w:r>
            <w:r>
              <w:rPr>
                <w:rFonts w:hint="eastAsia" w:ascii="微软雅黑" w:hAnsi="微软雅黑" w:eastAsia="微软雅黑" w:cs="微软雅黑"/>
                <w:color w:val="013298"/>
                <w:kern w:val="0"/>
                <w:sz w:val="15"/>
                <w:szCs w:val="15"/>
              </w:rPr>
              <w:t>，2023（07）：64-71.</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 基于系统风险格局识别的乡村产业韧性布局研究——以大运河天津段乡村为例[J].</w:t>
            </w:r>
            <w:r>
              <w:rPr>
                <w:rFonts w:hint="eastAsia" w:ascii="微软雅黑" w:hAnsi="微软雅黑" w:eastAsia="微软雅黑" w:cs="微软雅黑"/>
                <w:b/>
                <w:bCs/>
                <w:color w:val="013298"/>
                <w:kern w:val="0"/>
                <w:sz w:val="15"/>
                <w:szCs w:val="15"/>
              </w:rPr>
              <w:t>现代城市研究</w:t>
            </w:r>
            <w:r>
              <w:rPr>
                <w:rFonts w:hint="eastAsia" w:ascii="微软雅黑" w:hAnsi="微软雅黑" w:eastAsia="微软雅黑" w:cs="微软雅黑"/>
                <w:color w:val="013298"/>
                <w:kern w:val="0"/>
                <w:sz w:val="15"/>
                <w:szCs w:val="15"/>
              </w:rPr>
              <w:t>，2023（12）：25-32.</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第一作者.“信息流”视角下京津冀城市群网络格局演变特征及影响机制[J].</w:t>
            </w:r>
            <w:r>
              <w:rPr>
                <w:rFonts w:hint="eastAsia" w:ascii="微软雅黑" w:hAnsi="微软雅黑" w:eastAsia="微软雅黑" w:cs="微软雅黑"/>
                <w:b/>
                <w:bCs/>
                <w:color w:val="013298"/>
                <w:kern w:val="0"/>
                <w:sz w:val="15"/>
                <w:szCs w:val="15"/>
              </w:rPr>
              <w:t>现代城市研究</w:t>
            </w:r>
            <w:r>
              <w:rPr>
                <w:rFonts w:hint="eastAsia" w:ascii="微软雅黑" w:hAnsi="微软雅黑" w:eastAsia="微软雅黑" w:cs="微软雅黑"/>
                <w:color w:val="013298"/>
                <w:kern w:val="0"/>
                <w:sz w:val="15"/>
                <w:szCs w:val="15"/>
              </w:rPr>
              <w:t>，2024（02）：48-53+61.</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第一作者.“三生”统筹视角下大运河沿岸乡村脆弱性评价与韧性重构——以天津段为例[J].</w:t>
            </w:r>
            <w:r>
              <w:rPr>
                <w:rFonts w:hint="eastAsia" w:ascii="微软雅黑" w:hAnsi="微软雅黑" w:eastAsia="微软雅黑" w:cs="微软雅黑"/>
                <w:b/>
                <w:bCs/>
                <w:color w:val="013298"/>
                <w:kern w:val="0"/>
                <w:sz w:val="15"/>
                <w:szCs w:val="15"/>
              </w:rPr>
              <w:t>规划师</w:t>
            </w:r>
            <w:r>
              <w:rPr>
                <w:rFonts w:hint="eastAsia" w:ascii="微软雅黑" w:hAnsi="微软雅黑" w:eastAsia="微软雅黑" w:cs="微软雅黑"/>
                <w:color w:val="013298"/>
                <w:kern w:val="0"/>
                <w:sz w:val="15"/>
                <w:szCs w:val="15"/>
              </w:rPr>
              <w:t xml:space="preserve">，2022（10）：117-123.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 基于社会生态系统平衡的城市边缘区发展路径研究——以日照市为例[J].</w:t>
            </w:r>
            <w:r>
              <w:rPr>
                <w:rFonts w:hint="eastAsia" w:ascii="微软雅黑" w:hAnsi="微软雅黑" w:eastAsia="微软雅黑" w:cs="微软雅黑"/>
                <w:b/>
                <w:bCs/>
                <w:color w:val="013298"/>
                <w:kern w:val="0"/>
                <w:sz w:val="15"/>
                <w:szCs w:val="15"/>
              </w:rPr>
              <w:t>现代城市研究</w:t>
            </w:r>
            <w:r>
              <w:rPr>
                <w:rFonts w:hint="eastAsia" w:ascii="微软雅黑" w:hAnsi="微软雅黑" w:eastAsia="微软雅黑" w:cs="微软雅黑"/>
                <w:color w:val="013298"/>
                <w:kern w:val="0"/>
                <w:sz w:val="15"/>
                <w:szCs w:val="15"/>
              </w:rPr>
              <w:t xml:space="preserve">，2018（12）：111-118.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 传承·生长·共赢——基于人文行动的传统风貌小镇渐进式更新研究与实践[J].</w:t>
            </w:r>
            <w:r>
              <w:rPr>
                <w:rFonts w:hint="eastAsia" w:ascii="微软雅黑" w:hAnsi="微软雅黑" w:eastAsia="微软雅黑" w:cs="微软雅黑"/>
                <w:b/>
                <w:bCs/>
                <w:color w:val="013298"/>
                <w:kern w:val="0"/>
                <w:sz w:val="15"/>
                <w:szCs w:val="15"/>
              </w:rPr>
              <w:t>规划师</w:t>
            </w:r>
            <w:r>
              <w:rPr>
                <w:rFonts w:hint="eastAsia" w:ascii="微软雅黑" w:hAnsi="微软雅黑" w:eastAsia="微软雅黑" w:cs="微软雅黑"/>
                <w:color w:val="013298"/>
                <w:kern w:val="0"/>
                <w:sz w:val="15"/>
                <w:szCs w:val="15"/>
              </w:rPr>
              <w:t xml:space="preserve">，2018（05）：83-89.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 社会生态学视角下的城镇体系规划方法优化与实践[J].</w:t>
            </w:r>
            <w:r>
              <w:rPr>
                <w:rFonts w:hint="eastAsia" w:ascii="微软雅黑" w:hAnsi="微软雅黑" w:eastAsia="微软雅黑" w:cs="微软雅黑"/>
                <w:b/>
                <w:bCs/>
                <w:color w:val="013298"/>
                <w:kern w:val="0"/>
                <w:sz w:val="15"/>
                <w:szCs w:val="15"/>
              </w:rPr>
              <w:t>规划师</w:t>
            </w:r>
            <w:r>
              <w:rPr>
                <w:rFonts w:hint="eastAsia" w:ascii="微软雅黑" w:hAnsi="微软雅黑" w:eastAsia="微软雅黑" w:cs="微软雅黑"/>
                <w:color w:val="013298"/>
                <w:kern w:val="0"/>
                <w:sz w:val="15"/>
                <w:szCs w:val="15"/>
              </w:rPr>
              <w:t xml:space="preserve">，2016（01）：63-69.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基于智慧-韧性理念的滨海城市雨洪灾害防控规划方法[J].</w:t>
            </w:r>
            <w:r>
              <w:rPr>
                <w:rFonts w:hint="eastAsia" w:ascii="微软雅黑" w:hAnsi="微软雅黑" w:eastAsia="微软雅黑" w:cs="微软雅黑"/>
                <w:b/>
                <w:bCs/>
                <w:color w:val="013298"/>
                <w:kern w:val="0"/>
                <w:sz w:val="15"/>
                <w:szCs w:val="15"/>
              </w:rPr>
              <w:t>西部人居环境学刊</w:t>
            </w:r>
            <w:r>
              <w:rPr>
                <w:rFonts w:hint="eastAsia" w:ascii="微软雅黑" w:hAnsi="微软雅黑" w:eastAsia="微软雅黑" w:cs="微软雅黑"/>
                <w:color w:val="013298"/>
                <w:kern w:val="0"/>
                <w:sz w:val="15"/>
                <w:szCs w:val="15"/>
              </w:rPr>
              <w:t xml:space="preserve">，2022,37(6)：66-72. </w:t>
            </w:r>
          </w:p>
          <w:p>
            <w:pPr>
              <w:widowControl/>
              <w:numPr>
                <w:ilvl w:val="0"/>
                <w:numId w:val="5"/>
              </w:numPr>
              <w:ind w:left="197" w:leftChars="94" w:firstLine="21" w:firstLineChars="14"/>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山地乡村人居环境系统韧性的空间分异机制与优化策略——以西藏昌都为例[J].</w:t>
            </w:r>
            <w:r>
              <w:rPr>
                <w:rFonts w:hint="eastAsia" w:ascii="微软雅黑" w:hAnsi="微软雅黑" w:eastAsia="微软雅黑" w:cs="微软雅黑"/>
                <w:b/>
                <w:bCs/>
                <w:color w:val="013298"/>
                <w:kern w:val="0"/>
                <w:sz w:val="15"/>
                <w:szCs w:val="15"/>
              </w:rPr>
              <w:t>上海城市规划</w:t>
            </w:r>
            <w:r>
              <w:rPr>
                <w:rFonts w:hint="eastAsia" w:ascii="微软雅黑" w:hAnsi="微软雅黑" w:eastAsia="微软雅黑" w:cs="微软雅黑"/>
                <w:color w:val="013298"/>
                <w:kern w:val="0"/>
                <w:sz w:val="15"/>
                <w:szCs w:val="15"/>
              </w:rPr>
              <w:t>,2023(02)：29-37.</w:t>
            </w:r>
          </w:p>
          <w:p>
            <w:pPr>
              <w:widowControl/>
              <w:numPr>
                <w:ilvl w:val="0"/>
                <w:numId w:val="5"/>
              </w:numPr>
              <w:ind w:left="197" w:leftChars="94" w:firstLine="21" w:firstLineChars="14"/>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第一作者.</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系统韧性理念下城市水系空间“生态+”发展策略及实践[J].</w:t>
            </w:r>
            <w:r>
              <w:rPr>
                <w:rFonts w:hint="eastAsia" w:ascii="微软雅黑" w:hAnsi="微软雅黑" w:eastAsia="微软雅黑" w:cs="微软雅黑"/>
                <w:b/>
                <w:bCs/>
                <w:color w:val="013298"/>
                <w:kern w:val="0"/>
                <w:sz w:val="15"/>
                <w:szCs w:val="15"/>
              </w:rPr>
              <w:t>上海城市规划</w:t>
            </w:r>
            <w:r>
              <w:rPr>
                <w:rFonts w:hint="eastAsia" w:ascii="微软雅黑" w:hAnsi="微软雅黑" w:eastAsia="微软雅黑" w:cs="微软雅黑"/>
                <w:color w:val="013298"/>
                <w:kern w:val="0"/>
                <w:sz w:val="15"/>
                <w:szCs w:val="15"/>
              </w:rPr>
              <w:t>, 2023(06)：105-113.</w:t>
            </w:r>
          </w:p>
          <w:p>
            <w:pPr>
              <w:widowControl/>
              <w:ind w:firstLine="300"/>
              <w:jc w:val="left"/>
              <w:rPr>
                <w:rFonts w:ascii="微软雅黑" w:hAnsi="微软雅黑" w:eastAsia="微软雅黑" w:cs="微软雅黑"/>
                <w:color w:val="013298"/>
                <w:kern w:val="0"/>
                <w:sz w:val="15"/>
                <w:szCs w:val="15"/>
              </w:rPr>
            </w:pPr>
          </w:p>
        </w:tc>
      </w:tr>
    </w:tbl>
    <w:p>
      <w:pPr>
        <w:rPr>
          <w:rFonts w:hint="eastAsia"/>
        </w:rPr>
      </w:pPr>
    </w:p>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997F9"/>
    <w:multiLevelType w:val="singleLevel"/>
    <w:tmpl w:val="AFE997F9"/>
    <w:lvl w:ilvl="0" w:tentative="0">
      <w:start w:val="1"/>
      <w:numFmt w:val="decimal"/>
      <w:suff w:val="space"/>
      <w:lvlText w:val="%1."/>
      <w:lvlJc w:val="left"/>
    </w:lvl>
  </w:abstractNum>
  <w:abstractNum w:abstractNumId="1">
    <w:nsid w:val="13C94AA7"/>
    <w:multiLevelType w:val="singleLevel"/>
    <w:tmpl w:val="13C94AA7"/>
    <w:lvl w:ilvl="0" w:tentative="0">
      <w:start w:val="1"/>
      <w:numFmt w:val="decimal"/>
      <w:suff w:val="space"/>
      <w:lvlText w:val="%1."/>
      <w:lvlJc w:val="left"/>
      <w:pPr>
        <w:ind w:left="450" w:leftChars="0" w:firstLine="0" w:firstLineChars="0"/>
      </w:pPr>
    </w:lvl>
  </w:abstractNum>
  <w:abstractNum w:abstractNumId="2">
    <w:nsid w:val="4B4D8C1E"/>
    <w:multiLevelType w:val="singleLevel"/>
    <w:tmpl w:val="4B4D8C1E"/>
    <w:lvl w:ilvl="0" w:tentative="0">
      <w:start w:val="2"/>
      <w:numFmt w:val="decimal"/>
      <w:suff w:val="space"/>
      <w:lvlText w:val="%1."/>
      <w:lvlJc w:val="left"/>
    </w:lvl>
  </w:abstractNum>
  <w:abstractNum w:abstractNumId="3">
    <w:nsid w:val="65F65304"/>
    <w:multiLevelType w:val="singleLevel"/>
    <w:tmpl w:val="65F65304"/>
    <w:lvl w:ilvl="0" w:tentative="0">
      <w:start w:val="1"/>
      <w:numFmt w:val="bullet"/>
      <w:lvlText w:val=""/>
      <w:lvlJc w:val="left"/>
      <w:pPr>
        <w:ind w:left="420" w:hanging="420"/>
      </w:pPr>
      <w:rPr>
        <w:rFonts w:hint="default" w:ascii="Wingdings" w:hAnsi="Wingdings"/>
      </w:rPr>
    </w:lvl>
  </w:abstractNum>
  <w:abstractNum w:abstractNumId="4">
    <w:nsid w:val="6ADC2B58"/>
    <w:multiLevelType w:val="singleLevel"/>
    <w:tmpl w:val="6ADC2B58"/>
    <w:lvl w:ilvl="0" w:tentative="0">
      <w:start w:val="1"/>
      <w:numFmt w:val="decimal"/>
      <w:suff w:val="space"/>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yMTIxYTc4MWRhMTYwYzViZTc4NmExZDg4NDhkOTgifQ=="/>
  </w:docVars>
  <w:rsids>
    <w:rsidRoot w:val="1474690E"/>
    <w:rsid w:val="000057A9"/>
    <w:rsid w:val="0004427E"/>
    <w:rsid w:val="0016090C"/>
    <w:rsid w:val="001C7E3E"/>
    <w:rsid w:val="001F295B"/>
    <w:rsid w:val="00236398"/>
    <w:rsid w:val="002436C1"/>
    <w:rsid w:val="00262D44"/>
    <w:rsid w:val="002F2E2E"/>
    <w:rsid w:val="00324940"/>
    <w:rsid w:val="0035026F"/>
    <w:rsid w:val="003D1F5D"/>
    <w:rsid w:val="005C6C7D"/>
    <w:rsid w:val="006226D7"/>
    <w:rsid w:val="00634A25"/>
    <w:rsid w:val="006B68C1"/>
    <w:rsid w:val="007B0AE8"/>
    <w:rsid w:val="007B7885"/>
    <w:rsid w:val="008C6531"/>
    <w:rsid w:val="008F0791"/>
    <w:rsid w:val="00954697"/>
    <w:rsid w:val="009A4937"/>
    <w:rsid w:val="00AC55DE"/>
    <w:rsid w:val="00AF6AB1"/>
    <w:rsid w:val="00B23BBA"/>
    <w:rsid w:val="00B45D2A"/>
    <w:rsid w:val="00DA2BDA"/>
    <w:rsid w:val="00DD6CA0"/>
    <w:rsid w:val="00E04D0E"/>
    <w:rsid w:val="00E34AD8"/>
    <w:rsid w:val="00E842D1"/>
    <w:rsid w:val="00EE2E06"/>
    <w:rsid w:val="00FE2C26"/>
    <w:rsid w:val="00FF0876"/>
    <w:rsid w:val="03147E79"/>
    <w:rsid w:val="1474690E"/>
    <w:rsid w:val="18351C6E"/>
    <w:rsid w:val="2BD65BC9"/>
    <w:rsid w:val="2C122335"/>
    <w:rsid w:val="2CF0511B"/>
    <w:rsid w:val="33B54162"/>
    <w:rsid w:val="3A063DF1"/>
    <w:rsid w:val="41064FF8"/>
    <w:rsid w:val="524D6099"/>
    <w:rsid w:val="57F71B0A"/>
    <w:rsid w:val="6CC023AB"/>
    <w:rsid w:val="6DB85E94"/>
    <w:rsid w:val="6E281B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页眉 Char"/>
    <w:basedOn w:val="7"/>
    <w:link w:val="5"/>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4"/>
    <w:autoRedefine/>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xtz.kuaimaxt.cn</Company>
  <Pages>3</Pages>
  <Words>2377</Words>
  <Characters>3196</Characters>
  <Lines>3</Lines>
  <Paragraphs>1</Paragraphs>
  <TotalTime>12</TotalTime>
  <ScaleCrop>false</ScaleCrop>
  <LinksUpToDate>false</LinksUpToDate>
  <CharactersWithSpaces>3373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2023-06-14T02:59:00Z</dcterms:created>
  <dc:creator>lenovo</dc:creator>
  <cp:lastModifiedBy>景一帆</cp:lastModifiedBy>
  <dcterms:modified xsi:type="dcterms:W3CDTF">2024-06-28T03:17:15Z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FF11ECA070EE47F1AA01E93474CC13DD_13</vt:lpwstr>
  </property>
</Properties>
</file>